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Tomelilla kommunfullmäktige</w:t>
      </w:r>
    </w:p>
    <w:p>
      <w:pPr>
        <w:pStyle w:val="Heading1"/>
      </w:pPr>
      <w:r>
        <w:t xml:space="preserve">Höj skolresultaten genom riktade insatser för studiero och lärarstöd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Tomelilla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Tomelilla har lägre meritvärden än genomsnittet i Skåne (Kolada 2024). Lärarna efterfrågar mer stöd för ordning och extra undervisning. Insatserna behöver vara långsiktiga och mätbara.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Tomelilla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tvålärarsystem i årskurs 4–6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1 miljon kronor årligen för kompetensutveckling och extra undervisningstimmar.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årliga uppföljningar av meritvärden per skola.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resultat och kostnadseffektivitet för kommunfullmäktige.</w:t>
      </w:r>
    </w:p>
    <w:p>
      <w:pPr>
        <w:spacing w:before="360"/>
      </w:pPr>
    </w:p>
    <w:p>
      <w:r>
        <w:t xml:space="preserve">Tomelilla,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Tomelilla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2026-06-06T01:48:31.866Z</dcterms:created>
  <dcterms:modified xsi:type="dcterms:W3CDTF">2026-06-06T01:48:31.866Z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